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654"/>
        <w:gridCol w:w="1701"/>
      </w:tblGrid>
      <w:tr>
        <w:trPr>
          <w:cantSplit/>
        </w:trPr>
        <w:tc>
          <w:tcPr>
            <w:tcW w:type="dxa" w:w="5156"/>
            <w:vAlign w:val="center"/>
            <w:tcMar>
              <w:top w:w="40" w:type="dxa"/>
              <w:start w:w="0" w:type="dxa"/>
              <w:bottom w:w="40" w:type="dxa"/>
              <w:end w:w="40" w:type="dxa"/>
            </w:tcMar>
          </w:tcPr>
          <w:p>
            <w:pPr>
              <w:pStyle w:val="Title"/>
              <w:jc w:val="left"/>
            </w:pPr>
            <w:r>
              <w:rPr>
                <w:rFonts w:ascii="Liberation Sans" w:hAnsi="Liberation Sans"/>
                <w:b/>
                <w:i w:val="0"/>
                <w:color w:val="2E4A3F"/>
                <w:sz w:val="42"/>
              </w:rPr>
              <w:t>VNITŘNÍ PRAVIDLA</w:t>
              <w:br/>
              <w:t>A PROVOZNÍ ŘÁD</w:t>
            </w:r>
          </w:p>
          <w:p>
            <w:pPr>
              <w:spacing w:after="20"/>
            </w:pPr>
            <w:r>
              <w:rPr>
                <w:rFonts w:ascii="Liberation Sans" w:hAnsi="Liberation Sans"/>
                <w:b/>
                <w:i w:val="0"/>
                <w:color w:val="D98E32"/>
                <w:sz w:val="25"/>
              </w:rPr>
              <w:t>Minisvět U Krtečka – dětská skupina Beroun</w:t>
            </w:r>
          </w:p>
          <w:p>
            <w:pPr>
              <w:spacing w:after="0"/>
            </w:pPr>
            <w:r>
              <w:rPr>
                <w:rFonts w:ascii="Liberation Sans" w:hAnsi="Liberation Sans"/>
                <w:b w:val="0"/>
                <w:i w:val="0"/>
                <w:color w:val="6B6B6B"/>
                <w:sz w:val="18"/>
              </w:rPr>
              <w:t>Školní rok 2026/2027  |  účinnost od 1. 9. 2026</w:t>
            </w:r>
          </w:p>
        </w:tc>
        <w:tc>
          <w:tcPr>
            <w:tcW w:type="dxa" w:w="5156"/>
            <w:vAlign w:val="center"/>
            <w:tcMar>
              <w:top w:w="0" w:type="dxa"/>
              <w:start w:w="40" w:type="dxa"/>
              <w:bottom w:w="0" w:type="dxa"/>
              <w:end w:w="0" w:type="dxa"/>
            </w:tcMar>
          </w:tcPr>
          <w:p>
            <w:pPr>
              <w:jc w:val="right"/>
            </w:pPr>
            <w:r>
              <w:drawing>
                <wp:inline xmlns:a="http://schemas.openxmlformats.org/drawingml/2006/main" xmlns:pic="http://schemas.openxmlformats.org/drawingml/2006/picture">
                  <wp:extent cx="810000" cy="1145981"/>
                  <wp:docPr id="1" name="Picture 1"/>
                  <wp:cNvGraphicFramePr>
                    <a:graphicFrameLocks noChangeAspect="1"/>
                  </wp:cNvGraphicFramePr>
                  <a:graphic>
                    <a:graphicData uri="http://schemas.openxmlformats.org/drawingml/2006/picture">
                      <pic:pic>
                        <pic:nvPicPr>
                          <pic:cNvPr id="0" name="krtecek.png"/>
                          <pic:cNvPicPr/>
                        </pic:nvPicPr>
                        <pic:blipFill>
                          <a:blip r:embed="rId11"/>
                          <a:stretch>
                            <a:fillRect/>
                          </a:stretch>
                        </pic:blipFill>
                        <pic:spPr>
                          <a:xfrm>
                            <a:off x="0" y="0"/>
                            <a:ext cx="810000" cy="1145981"/>
                          </a:xfrm>
                          <a:prstGeom prst="rect"/>
                        </pic:spPr>
                      </pic:pic>
                    </a:graphicData>
                  </a:graphic>
                </wp:inline>
              </w:drawing>
            </w:r>
          </w:p>
        </w:tc>
      </w:tr>
    </w:tbl>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2381"/>
        <w:gridCol w:w="6917"/>
      </w:tblGrid>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Poskytovatel</w:t>
            </w:r>
          </w:p>
        </w:tc>
        <w:tc>
          <w:tcPr>
            <w:tcW w:type="dxa" w:w="5156"/>
            <w:tcMar>
              <w:top w:w="80" w:type="dxa"/>
              <w:start w:w="90" w:type="dxa"/>
              <w:bottom w:w="80" w:type="dxa"/>
              <w:end w:w="90" w:type="dxa"/>
            </w:tcMar>
          </w:tcPr>
          <w:p>
            <w:pPr>
              <w:spacing w:after="0"/>
            </w:pPr>
            <w:r>
              <w:rPr>
                <w:rFonts w:ascii="Liberation Sans" w:hAnsi="Liberation Sans"/>
                <w:b w:val="0"/>
                <w:i w:val="0"/>
                <w:sz w:val="17"/>
              </w:rPr>
              <w:t>MUSK, z. s., IČO 05507901</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Sídlo poskytovatele</w:t>
            </w:r>
          </w:p>
        </w:tc>
        <w:tc>
          <w:tcPr>
            <w:tcW w:type="dxa" w:w="5156"/>
            <w:tcMar>
              <w:top w:w="80" w:type="dxa"/>
              <w:start w:w="90" w:type="dxa"/>
              <w:bottom w:w="80" w:type="dxa"/>
              <w:end w:w="90" w:type="dxa"/>
            </w:tcMar>
          </w:tcPr>
          <w:p>
            <w:pPr>
              <w:spacing w:after="0"/>
            </w:pPr>
            <w:r>
              <w:rPr>
                <w:rFonts w:ascii="Liberation Sans" w:hAnsi="Liberation Sans"/>
                <w:b w:val="0"/>
                <w:i w:val="0"/>
                <w:sz w:val="17"/>
              </w:rPr>
              <w:t>Ke Kostelu 174, 251 01 Tehov</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Místo poskytování služby</w:t>
            </w:r>
          </w:p>
        </w:tc>
        <w:tc>
          <w:tcPr>
            <w:tcW w:type="dxa" w:w="5156"/>
            <w:tcMar>
              <w:top w:w="80" w:type="dxa"/>
              <w:start w:w="90" w:type="dxa"/>
              <w:bottom w:w="80" w:type="dxa"/>
              <w:end w:w="90" w:type="dxa"/>
            </w:tcMar>
          </w:tcPr>
          <w:p>
            <w:pPr>
              <w:spacing w:after="0"/>
            </w:pPr>
            <w:r>
              <w:rPr>
                <w:rFonts w:ascii="Liberation Sans" w:hAnsi="Liberation Sans"/>
                <w:b w:val="0"/>
                <w:i w:val="0"/>
                <w:sz w:val="17"/>
              </w:rPr>
              <w:t>Pod Haldou 306/7, 266 01 Beroun-Závodí</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Ředitelka zařízení</w:t>
            </w:r>
          </w:p>
        </w:tc>
        <w:tc>
          <w:tcPr>
            <w:tcW w:type="dxa" w:w="5156"/>
            <w:tcMar>
              <w:top w:w="80" w:type="dxa"/>
              <w:start w:w="90" w:type="dxa"/>
              <w:bottom w:w="80" w:type="dxa"/>
              <w:end w:w="90" w:type="dxa"/>
            </w:tcMar>
          </w:tcPr>
          <w:p>
            <w:pPr>
              <w:spacing w:after="0"/>
            </w:pPr>
            <w:r>
              <w:rPr>
                <w:rFonts w:ascii="Liberation Sans" w:hAnsi="Liberation Sans"/>
                <w:b w:val="0"/>
                <w:i w:val="0"/>
                <w:sz w:val="17"/>
              </w:rPr>
              <w:t>Mgr. Ing. Milada Stárková</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Zástupce ředitelky</w:t>
            </w:r>
          </w:p>
        </w:tc>
        <w:tc>
          <w:tcPr>
            <w:tcW w:type="dxa" w:w="5156"/>
            <w:tcMar>
              <w:top w:w="80" w:type="dxa"/>
              <w:start w:w="90" w:type="dxa"/>
              <w:bottom w:w="80" w:type="dxa"/>
              <w:end w:w="90" w:type="dxa"/>
            </w:tcMar>
          </w:tcPr>
          <w:p>
            <w:pPr>
              <w:spacing w:after="0"/>
            </w:pPr>
            <w:r>
              <w:rPr>
                <w:rFonts w:ascii="Liberation Sans" w:hAnsi="Liberation Sans"/>
                <w:b w:val="0"/>
                <w:i w:val="0"/>
                <w:sz w:val="17"/>
              </w:rPr>
              <w:t>Stanislav Stárek</w:t>
            </w:r>
          </w:p>
        </w:tc>
      </w:tr>
      <w:tr>
        <w:trPr>
          <w:cantSplit/>
        </w:trPr>
        <w:tc>
          <w:tcPr>
            <w:tcW w:type="dxa" w:w="5156"/>
            <w:shd w:fill="F3F5F4"/>
            <w:tcMar>
              <w:top w:w="80" w:type="dxa"/>
              <w:start w:w="90" w:type="dxa"/>
              <w:bottom w:w="80" w:type="dxa"/>
              <w:end w:w="90" w:type="dxa"/>
            </w:tcMar>
          </w:tcPr>
          <w:p>
            <w:r>
              <w:t>Vedoucí pracovnice</w:t>
            </w:r>
          </w:p>
        </w:tc>
        <w:tc>
          <w:tcPr>
            <w:tcW w:type="dxa" w:w="5156"/>
            <w:tcMar>
              <w:top w:w="80" w:type="dxa"/>
              <w:start w:w="90" w:type="dxa"/>
              <w:bottom w:w="80" w:type="dxa"/>
              <w:end w:w="90" w:type="dxa"/>
            </w:tcMar>
          </w:tcPr>
          <w:p>
            <w:r>
              <w:t>Michaela Habigerová</w:t>
            </w:r>
          </w:p>
        </w:tc>
      </w:tr>
      <w:tr>
        <w:trPr>
          <w:cantSplit/>
        </w:trPr>
        <w:tc>
          <w:tcPr>
            <w:tcW w:type="dxa" w:w="5156"/>
            <w:shd w:fill="F3F5F4"/>
            <w:tcMar>
              <w:top w:w="80" w:type="dxa"/>
              <w:start w:w="90" w:type="dxa"/>
              <w:bottom w:w="80" w:type="dxa"/>
              <w:end w:w="90" w:type="dxa"/>
            </w:tcMar>
          </w:tcPr>
          <w:p>
            <w:pPr>
              <w:spacing w:after="0"/>
            </w:pPr>
            <w:r>
              <w:rPr>
                <w:rFonts w:ascii="Liberation Sans" w:hAnsi="Liberation Sans"/>
                <w:b/>
                <w:i w:val="0"/>
                <w:color w:val="2E4A3F"/>
                <w:sz w:val="17"/>
              </w:rPr>
              <w:t>Bankovní účet</w:t>
            </w:r>
          </w:p>
        </w:tc>
        <w:tc>
          <w:tcPr>
            <w:tcW w:type="dxa" w:w="5156"/>
            <w:tcMar>
              <w:top w:w="80" w:type="dxa"/>
              <w:start w:w="90" w:type="dxa"/>
              <w:bottom w:w="80" w:type="dxa"/>
              <w:end w:w="90" w:type="dxa"/>
            </w:tcMar>
          </w:tcPr>
          <w:p>
            <w:pPr>
              <w:spacing w:after="0"/>
            </w:pPr>
            <w:r>
              <w:rPr>
                <w:rFonts w:ascii="Liberation Sans" w:hAnsi="Liberation Sans"/>
                <w:b w:val="0"/>
                <w:i w:val="0"/>
                <w:sz w:val="17"/>
              </w:rPr>
              <w:t>246253075/0600</w:t>
            </w:r>
          </w:p>
        </w:tc>
      </w:tr>
    </w:tbl>
    <w:p>
      <w:pPr>
        <w:spacing w:after="0"/>
      </w:pPr>
      <w:r>
        <w:rPr>
          <w:rFonts w:ascii="Liberation Sans" w:hAnsi="Liberation Sans"/>
          <w:b w:val="0"/>
          <w:i/>
          <w:color w:val="6B6B6B"/>
          <w:sz w:val="16"/>
        </w:rPr>
        <w:t>Dokument je zpracován v návaznosti na zákon č. 247/2014 Sb., o poskytování služby péče o dítě v dětské skupině, ve znění pozdějších předpisů, a související právní předpisy.</w:t>
      </w:r>
    </w:p>
    <w:p>
      <w:pPr>
        <w:pStyle w:val="Heading1"/>
      </w:pPr>
      <w:r>
        <w:t>§ 1  Základní podmínky poskytování služby</w:t>
      </w:r>
    </w:p>
    <w:p>
      <w:r>
        <w:rPr>
          <w:rFonts w:ascii="Liberation Sans" w:hAnsi="Liberation Sans"/>
          <w:b w:val="0"/>
          <w:i w:val="0"/>
          <w:sz w:val="19"/>
        </w:rPr>
        <w:t xml:space="preserve">Dětská skupina je určena dětem </w:t>
      </w:r>
      <w:r>
        <w:rPr>
          <w:rFonts w:ascii="Liberation Sans" w:hAnsi="Liberation Sans"/>
          <w:b/>
          <w:i w:val="0"/>
        </w:rPr>
        <w:t>od 1 roku do zahájení povinné školní docházky</w:t>
      </w:r>
      <w:r>
        <w:rPr>
          <w:rFonts w:ascii="Liberation Sans" w:hAnsi="Liberation Sans"/>
          <w:b w:val="0"/>
          <w:i w:val="0"/>
          <w:sz w:val="19"/>
        </w:rPr>
        <w:t xml:space="preserve">. Maximální kapacita provozovny je </w:t>
      </w:r>
      <w:r>
        <w:rPr>
          <w:rFonts w:ascii="Liberation Sans" w:hAnsi="Liberation Sans"/>
          <w:b/>
          <w:i w:val="0"/>
        </w:rPr>
        <w:t>24 současně přítomných dětí</w:t>
      </w:r>
      <w:r>
        <w:rPr>
          <w:rFonts w:ascii="Liberation Sans" w:hAnsi="Liberation Sans"/>
          <w:b w:val="0"/>
          <w:i w:val="0"/>
          <w:sz w:val="19"/>
        </w:rPr>
        <w:t>. Služba je poskytována s částečnou úhradou rodiče.</w:t>
      </w:r>
    </w:p>
    <w:p>
      <w:pPr>
        <w:pStyle w:val="CompactList"/>
        <w:ind w:left="312" w:hanging="159"/>
      </w:pPr>
      <w:r>
        <w:rPr>
          <w:rFonts w:ascii="Liberation Sans" w:hAnsi="Liberation Sans"/>
          <w:b w:val="0"/>
          <w:i w:val="0"/>
        </w:rPr>
        <w:t>• Provozní dny: pondělí až pátek, s výjimkou státních svátků, oznámeného přerušení provozu a mimořádných situací.</w:t>
      </w:r>
    </w:p>
    <w:p>
      <w:pPr>
        <w:pStyle w:val="CompactList"/>
        <w:ind w:left="312" w:hanging="159"/>
      </w:pPr>
      <w:r>
        <w:rPr>
          <w:rFonts w:ascii="Liberation Sans" w:hAnsi="Liberation Sans"/>
          <w:b w:val="0"/>
          <w:i w:val="0"/>
        </w:rPr>
        <w:t>• Provozní doba: 7:00–17:00.</w:t>
      </w:r>
    </w:p>
    <w:p>
      <w:pPr>
        <w:pStyle w:val="CompactList"/>
        <w:ind w:left="312" w:hanging="159"/>
      </w:pPr>
      <w:r>
        <w:rPr>
          <w:rFonts w:ascii="Liberation Sans" w:hAnsi="Liberation Sans"/>
          <w:b w:val="0"/>
          <w:i w:val="0"/>
        </w:rPr>
        <w:t>• Příchod dítěte: nejpozději v 8:25 tak, aby bylo dítě v tomto čase předáno pečující osobě ve své třídě.</w:t>
      </w:r>
    </w:p>
    <w:p>
      <w:pPr>
        <w:pStyle w:val="CompactList"/>
        <w:ind w:left="312" w:hanging="159"/>
      </w:pPr>
      <w:r>
        <w:rPr>
          <w:rFonts w:ascii="Liberation Sans" w:hAnsi="Liberation Sans"/>
          <w:b w:val="0"/>
          <w:i w:val="0"/>
        </w:rPr>
        <w:t>• V 8:30 se vstupní vrata/provozovna uzamykají a začíná dopolední program. Pozdější příchod je možný pouze po předchozí dohodě, typicky z důvodu návštěvy lékaře.</w:t>
      </w:r>
    </w:p>
    <w:p>
      <w:pPr>
        <w:pStyle w:val="Heading1"/>
      </w:pPr>
      <w:r>
        <w:t>§ 2  Výchova, péče a režim dne</w:t>
      </w:r>
    </w:p>
    <w:p>
      <w:r>
        <w:rPr>
          <w:rFonts w:ascii="Liberation Sans" w:hAnsi="Liberation Sans"/>
          <w:b w:val="0"/>
          <w:i w:val="0"/>
        </w:rPr>
        <w:t>Péče vychází z Plánu výchovy a péče dětské skupiny, který je přizpůsoben věku, individuálním potřebám a aktuálním možnostem dětí. Plán je dostupný v provozovně a na webových stránkách. Je inspirován principy předškolního vzdělávání, nejde však o školní vzdělávací program mateřské školy.</w:t>
      </w:r>
    </w:p>
    <w:tbl>
      <w:tblPr>
        <w:tblW w:type="auto" w:w="0"/>
        <w:jc w:val="center"/>
        <w:tblLayout w:type="fixed"/>
        <w:tblLook w:firstColumn="1" w:firstRow="1" w:lastColumn="0" w:lastRow="0" w:noHBand="0" w:noVBand="1" w:val="04A0"/>
        <w:tblBorders>
          <w:top w:val="single" w:sz="4" w:space="0" w:color="D9DEDB"/>
          <w:left w:val="single" w:sz="4" w:space="0" w:color="D9DEDB"/>
          <w:bottom w:val="single" w:sz="4" w:space="0" w:color="D9DEDB"/>
          <w:right w:val="single" w:sz="4" w:space="0" w:color="D9DEDB"/>
          <w:insideH w:val="single" w:sz="4" w:space="0" w:color="D9DEDB"/>
          <w:insideV w:val="single" w:sz="4" w:space="0" w:color="D9DEDB"/>
        </w:tblBorders>
      </w:tblPr>
      <w:tblGrid>
        <w:gridCol w:w="2041"/>
        <w:gridCol w:w="7257"/>
      </w:tblGrid>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7:00–8:25</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příchod dětí, volná hra, individuální činnosti</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8:25–8:45</w:t>
            </w:r>
          </w:p>
        </w:tc>
        <w:tc>
          <w:tcPr>
            <w:tcW w:type="dxa" w:w="5156"/>
            <w:tcMar>
              <w:top w:w="65" w:type="dxa"/>
              <w:start w:w="90" w:type="dxa"/>
              <w:bottom w:w="65" w:type="dxa"/>
              <w:end w:w="90" w:type="dxa"/>
            </w:tcMar>
          </w:tcPr>
          <w:p>
            <w:pPr>
              <w:spacing w:after="0"/>
            </w:pPr>
            <w:r>
              <w:rPr>
                <w:rFonts w:ascii="Liberation Sans" w:hAnsi="Liberation Sans"/>
                <w:b w:val="0"/>
                <w:i w:val="0"/>
                <w:sz w:val="17"/>
              </w:rPr>
              <w:t>ranní kruh, hygiena</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8:45–9:00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dopolední svačina, hygiena</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9:00–9:45</w:t>
            </w:r>
          </w:p>
        </w:tc>
        <w:tc>
          <w:tcPr>
            <w:tcW w:type="dxa" w:w="5156"/>
            <w:tcMar>
              <w:top w:w="65" w:type="dxa"/>
              <w:start w:w="90" w:type="dxa"/>
              <w:bottom w:w="65" w:type="dxa"/>
              <w:end w:w="90" w:type="dxa"/>
            </w:tcMar>
          </w:tcPr>
          <w:p>
            <w:pPr>
              <w:spacing w:after="0"/>
            </w:pPr>
            <w:r>
              <w:rPr>
                <w:rFonts w:ascii="Liberation Sans" w:hAnsi="Liberation Sans"/>
                <w:b w:val="0"/>
                <w:i w:val="0"/>
                <w:sz w:val="17"/>
              </w:rPr>
              <w:t>řízené výchovné a rozvojové činnosti</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9:45–11:30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pobyt venku, pohybové a zážitkové aktivity</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11:30–12:15</w:t>
            </w:r>
          </w:p>
        </w:tc>
        <w:tc>
          <w:tcPr>
            <w:tcW w:type="dxa" w:w="5156"/>
            <w:tcMar>
              <w:top w:w="65" w:type="dxa"/>
              <w:start w:w="90" w:type="dxa"/>
              <w:bottom w:w="65" w:type="dxa"/>
              <w:end w:w="90" w:type="dxa"/>
            </w:tcMar>
          </w:tcPr>
          <w:p>
            <w:pPr>
              <w:spacing w:after="0"/>
            </w:pPr>
            <w:r>
              <w:rPr>
                <w:rFonts w:ascii="Liberation Sans" w:hAnsi="Liberation Sans"/>
                <w:b w:val="0"/>
                <w:i w:val="0"/>
                <w:sz w:val="17"/>
              </w:rPr>
              <w:t>hygiena, oběd</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12:15–12:30</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příprava na polední klid</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12:30–14:30</w:t>
            </w:r>
          </w:p>
        </w:tc>
        <w:tc>
          <w:tcPr>
            <w:tcW w:type="dxa" w:w="5156"/>
            <w:tcMar>
              <w:top w:w="65" w:type="dxa"/>
              <w:start w:w="90" w:type="dxa"/>
              <w:bottom w:w="65" w:type="dxa"/>
              <w:end w:w="90" w:type="dxa"/>
            </w:tcMar>
          </w:tcPr>
          <w:p>
            <w:pPr>
              <w:spacing w:after="0"/>
            </w:pPr>
            <w:r>
              <w:rPr>
                <w:rFonts w:ascii="Liberation Sans" w:hAnsi="Liberation Sans"/>
                <w:b w:val="0"/>
                <w:i w:val="0"/>
                <w:sz w:val="17"/>
              </w:rPr>
              <w:t>odpočinek a klidové činnosti podle individuální potřeby</w:t>
            </w:r>
          </w:p>
        </w:tc>
      </w:tr>
      <w:tr>
        <w:trPr>
          <w:cantSplit/>
        </w:trPr>
        <w:tc>
          <w:tcPr>
            <w:tcW w:type="dxa" w:w="5156"/>
            <w:shd w:fill="FAFBFA"/>
            <w:tcMar>
              <w:top w:w="65" w:type="dxa"/>
              <w:start w:w="90" w:type="dxa"/>
              <w:bottom w:w="65" w:type="dxa"/>
              <w:end w:w="90" w:type="dxa"/>
            </w:tcMar>
          </w:tcPr>
          <w:p>
            <w:pPr>
              <w:spacing w:after="0"/>
            </w:pPr>
            <w:r>
              <w:rPr>
                <w:rFonts w:ascii="Liberation Sans" w:hAnsi="Liberation Sans"/>
                <w:b/>
                <w:i w:val="0"/>
                <w:color w:val="2E4A3F"/>
                <w:sz w:val="17"/>
              </w:rPr>
              <w:t>14:30–15:15</w:t>
            </w:r>
          </w:p>
        </w:tc>
        <w:tc>
          <w:tcPr>
            <w:tcW w:type="dxa" w:w="5156"/>
            <w:shd w:fill="FAFBFA"/>
            <w:tcMar>
              <w:top w:w="65" w:type="dxa"/>
              <w:start w:w="90" w:type="dxa"/>
              <w:bottom w:w="65" w:type="dxa"/>
              <w:end w:w="90" w:type="dxa"/>
            </w:tcMar>
          </w:tcPr>
          <w:p>
            <w:pPr>
              <w:spacing w:after="0"/>
            </w:pPr>
            <w:r>
              <w:rPr>
                <w:rFonts w:ascii="Liberation Sans" w:hAnsi="Liberation Sans"/>
                <w:b w:val="0"/>
                <w:i w:val="0"/>
                <w:sz w:val="17"/>
              </w:rPr>
              <w:t>hygiena, odpolední svačina</w:t>
            </w:r>
          </w:p>
        </w:tc>
      </w:tr>
      <w:tr>
        <w:trPr>
          <w:cantSplit/>
        </w:trPr>
        <w:tc>
          <w:tcPr>
            <w:tcW w:type="dxa" w:w="5156"/>
            <w:tcMar>
              <w:top w:w="65" w:type="dxa"/>
              <w:start w:w="90" w:type="dxa"/>
              <w:bottom w:w="65" w:type="dxa"/>
              <w:end w:w="90" w:type="dxa"/>
            </w:tcMar>
          </w:tcPr>
          <w:p>
            <w:pPr>
              <w:spacing w:after="0"/>
            </w:pPr>
            <w:r>
              <w:rPr>
                <w:rFonts w:ascii="Liberation Sans" w:hAnsi="Liberation Sans"/>
                <w:b/>
                <w:i w:val="0"/>
                <w:color w:val="2E4A3F"/>
                <w:sz w:val="17"/>
              </w:rPr>
              <w:t>15:15–17:00</w:t>
            </w:r>
          </w:p>
        </w:tc>
        <w:tc>
          <w:tcPr>
            <w:tcW w:type="dxa" w:w="5156"/>
            <w:tcMar>
              <w:top w:w="65" w:type="dxa"/>
              <w:start w:w="90" w:type="dxa"/>
              <w:bottom w:w="65" w:type="dxa"/>
              <w:end w:w="90" w:type="dxa"/>
            </w:tcMar>
          </w:tcPr>
          <w:p>
            <w:pPr>
              <w:spacing w:after="0"/>
            </w:pPr>
            <w:r>
              <w:rPr>
                <w:rFonts w:ascii="Liberation Sans" w:hAnsi="Liberation Sans"/>
                <w:b w:val="0"/>
                <w:i w:val="0"/>
                <w:sz w:val="17"/>
              </w:rPr>
              <w:t>hry, individuální činnosti, pobyt venku a odchod dětí</w:t>
            </w:r>
          </w:p>
        </w:tc>
      </w:tr>
    </w:tbl>
    <w:p>
      <w:pPr>
        <w:spacing w:after="0"/>
      </w:pPr>
      <w:r>
        <w:rPr>
          <w:rFonts w:ascii="Liberation Sans" w:hAnsi="Liberation Sans"/>
          <w:b w:val="0"/>
          <w:i/>
          <w:color w:val="6B6B6B"/>
          <w:sz w:val="17"/>
        </w:rPr>
        <w:t>Režim dne je orientační. Pečující osoby jej mohou upravit podle počasí, věku a potřeb dětí, plánované akce nebo mimořádné situace.</w:t>
      </w:r>
    </w:p>
    <w:p>
      <w:pPr>
        <w:pStyle w:val="Heading1"/>
      </w:pPr>
      <w:r>
        <w:t>§ 3  Přijetí dítěte a dokumentace</w:t>
      </w:r>
    </w:p>
    <w:p>
      <w:r>
        <w:rPr>
          <w:rFonts w:ascii="Liberation Sans" w:hAnsi="Liberation Sans"/>
          <w:b w:val="0"/>
          <w:i w:val="0"/>
        </w:rPr>
        <w:t>Děti jsou přijímány průběžně během roku podle volné kapacity. Při rozhodování se zohledňuje zejména věk dítěte, kapacita skupiny, rozsah požadované docházky, splnění podmínek pro čerpání příspěvku na provoz dětské skupiny a datum podání kompletní žádosti. Přijetí je završeno podpisem smlouvy o poskytování služby péče o dítě v dětské skupině.</w:t>
      </w:r>
    </w:p>
    <w:p>
      <w:r>
        <w:rPr>
          <w:rFonts w:ascii="Liberation Sans" w:hAnsi="Liberation Sans"/>
          <w:b/>
          <w:i w:val="0"/>
        </w:rPr>
        <w:t>Nejpozději při zahájení docházky rodič předloží zejména:</w:t>
      </w:r>
    </w:p>
    <w:p>
      <w:pPr>
        <w:pStyle w:val="CompactList"/>
        <w:ind w:left="312" w:hanging="159"/>
      </w:pPr>
      <w:r>
        <w:rPr>
          <w:rFonts w:ascii="Liberation Sans" w:hAnsi="Liberation Sans"/>
          <w:b w:val="0"/>
          <w:i w:val="0"/>
        </w:rPr>
        <w:t>• podepsanou smlouvu o poskytování služby péče o dítě v dětské skupině a žádost/přihlášku k docházce,</w:t>
      </w:r>
    </w:p>
    <w:p>
      <w:pPr>
        <w:pStyle w:val="CompactList"/>
        <w:ind w:left="312" w:hanging="159"/>
      </w:pPr>
      <w:r>
        <w:rPr>
          <w:rFonts w:ascii="Liberation Sans" w:hAnsi="Liberation Sans"/>
          <w:b w:val="0"/>
          <w:i w:val="0"/>
        </w:rPr>
        <w:t>• evidenční údaje dítěte a kontaktní údaje rodičů a pověřených osob,</w:t>
      </w:r>
    </w:p>
    <w:p>
      <w:pPr>
        <w:pStyle w:val="CompactList"/>
        <w:ind w:left="312" w:hanging="159"/>
      </w:pPr>
      <w:r>
        <w:rPr>
          <w:rFonts w:ascii="Liberation Sans" w:hAnsi="Liberation Sans"/>
          <w:b w:val="0"/>
          <w:i w:val="0"/>
        </w:rPr>
        <w:t>• lékařský posudek o zdravotní způsobilosti dítěte včetně údajů požadovaných právními předpisy o očkování, imunitě nebo kontraindikaci,</w:t>
      </w:r>
    </w:p>
    <w:p>
      <w:pPr>
        <w:pStyle w:val="CompactList"/>
        <w:ind w:left="312" w:hanging="159"/>
      </w:pPr>
      <w:r>
        <w:rPr>
          <w:rFonts w:ascii="Liberation Sans" w:hAnsi="Liberation Sans"/>
          <w:b w:val="0"/>
          <w:i w:val="0"/>
        </w:rPr>
        <w:t>• doklad prokazující postavení na trhu práce nebo jinou zákonem uznanou skutečnost, je-li potřebný pro čerpání příspěvku na provoz,</w:t>
      </w:r>
    </w:p>
    <w:p>
      <w:pPr>
        <w:pStyle w:val="CompactList"/>
        <w:ind w:left="312" w:hanging="159"/>
      </w:pPr>
      <w:r>
        <w:rPr>
          <w:rFonts w:ascii="Liberation Sans" w:hAnsi="Liberation Sans"/>
          <w:b w:val="0"/>
          <w:i w:val="0"/>
        </w:rPr>
        <w:t>• přihlášku ke stravování a informace o alergiích, dietních omezeních či jiných zdravotních potřebách,</w:t>
      </w:r>
    </w:p>
    <w:p>
      <w:pPr>
        <w:pStyle w:val="CompactList"/>
        <w:ind w:left="312" w:hanging="159"/>
      </w:pPr>
      <w:r>
        <w:rPr>
          <w:rFonts w:ascii="Liberation Sans" w:hAnsi="Liberation Sans"/>
          <w:b w:val="0"/>
          <w:i w:val="0"/>
        </w:rPr>
        <w:t>• seznam osob oprávněných k vyzvedávání dítěte a další souhlasy nebo údaje, jsou-li pro poskytování služby potřebné.</w:t>
      </w:r>
    </w:p>
    <w:tbl>
      <w:tblPr>
        <w:tblW w:type="auto" w:w="0"/>
        <w:jc w:val="center"/>
        <w:tblLayout w:type="fixed"/>
        <w:tblLook w:firstColumn="1" w:firstRow="1" w:lastColumn="0" w:lastRow="0" w:noHBand="0" w:noVBand="1" w:val="04A0"/>
        <w:tblBorders>
          <w:top w:val="single" w:sz="4" w:space="0" w:color="D8DDD9"/>
          <w:left w:val="single" w:sz="4" w:space="0" w:color="D8DDD9"/>
          <w:bottom w:val="single" w:sz="4" w:space="0" w:color="D8DDD9"/>
          <w:right w:val="single" w:sz="4" w:space="0" w:color="D8DDD9"/>
          <w:insideH w:val="single" w:sz="4" w:space="0" w:color="D8DDD9"/>
          <w:insideV w:val="single" w:sz="4" w:space="0" w:color="D8DDD9"/>
        </w:tblBorders>
      </w:tblPr>
      <w:tblGrid>
        <w:gridCol w:w="9411"/>
      </w:tblGrid>
      <w:tr>
        <w:trPr>
          <w:cantSplit/>
        </w:trPr>
        <w:tc>
          <w:tcPr>
            <w:tcW w:type="dxa" w:w="10312"/>
            <w:shd w:fill="F3F5F4"/>
            <w:tcMar>
              <w:top w:w="110" w:type="dxa"/>
              <w:start w:w="140" w:type="dxa"/>
              <w:bottom w:w="110" w:type="dxa"/>
              <w:end w:w="140" w:type="dxa"/>
            </w:tcMar>
          </w:tcPr>
          <w:p>
            <w:pPr>
              <w:spacing w:after="0"/>
            </w:pPr>
            <w:r>
              <w:rPr>
                <w:rFonts w:ascii="Liberation Sans" w:hAnsi="Liberation Sans"/>
                <w:b w:val="0"/>
                <w:i w:val="0"/>
                <w:color w:val="4F5853"/>
                <w:sz w:val="18"/>
              </w:rPr>
              <w:t>Rodič je povinen bez zbytečného odkladu oznamovat změny kontaktních údajů. Změny zdravotní způsobilosti dítěte a skutečností dokládaných pro účely příspěvku na provoz oznamuje a dokládá ve lhůtách stanovených zákonem, zpravidla do 10 dnů od jejich vzniku.</w:t>
            </w:r>
          </w:p>
        </w:tc>
      </w:tr>
    </w:tbl>
    <w:p>
      <w:pPr>
        <w:pStyle w:val="Heading1"/>
      </w:pPr>
      <w:r>
        <w:t>§ 4  Docházka, předávání a vyzvedávání dítěte</w:t>
      </w:r>
    </w:p>
    <w:p>
      <w:pPr>
        <w:pStyle w:val="CompactList"/>
        <w:ind w:left="312" w:hanging="159"/>
      </w:pPr>
      <w:r>
        <w:rPr>
          <w:rFonts w:ascii="Liberation Sans" w:hAnsi="Liberation Sans"/>
          <w:b w:val="0"/>
          <w:i w:val="0"/>
        </w:rPr>
        <w:t>• Rodič předává dítě osobně pečující osobě. Odpovědnost poskytovatele za dítě začíná jeho prokazatelným převzetím a končí předáním rodiči nebo jiné písemně pověřené osobě.</w:t>
      </w:r>
    </w:p>
    <w:p>
      <w:pPr>
        <w:pStyle w:val="CompactList"/>
        <w:ind w:left="312" w:hanging="159"/>
      </w:pPr>
      <w:r>
        <w:rPr>
          <w:rFonts w:ascii="Liberation Sans" w:hAnsi="Liberation Sans"/>
          <w:b w:val="0"/>
          <w:i w:val="0"/>
        </w:rPr>
        <w:t>• Předávání a vyzvedávání probíhá u vstupu do provozovny, případně u vstupní branky na zahradu, pokud se děti nacházejí venku.</w:t>
      </w:r>
    </w:p>
    <w:p>
      <w:pPr>
        <w:pStyle w:val="CompactList"/>
        <w:ind w:left="312" w:hanging="159"/>
      </w:pPr>
      <w:r>
        <w:rPr>
          <w:rFonts w:ascii="Liberation Sans" w:hAnsi="Liberation Sans"/>
          <w:b w:val="0"/>
          <w:i w:val="0"/>
        </w:rPr>
        <w:t>• Dítě může vyzvednout pouze osoba uvedená v evidenci/pověření. V případě pochybností může zaměstnanec požadovat prokázání totožnosti.</w:t>
      </w:r>
    </w:p>
    <w:p>
      <w:pPr>
        <w:pStyle w:val="CompactList"/>
        <w:ind w:left="312" w:hanging="159"/>
      </w:pPr>
      <w:r>
        <w:rPr>
          <w:rFonts w:ascii="Liberation Sans" w:hAnsi="Liberation Sans"/>
          <w:b w:val="0"/>
          <w:i w:val="0"/>
        </w:rPr>
        <w:t>• Předem známou nepřítomnost rodič oznamuje co nejdříve. Akutní nemoc nebo jinou náhlou nepřítomnost oznamuje bez zbytečného odkladu.</w:t>
      </w:r>
    </w:p>
    <w:p>
      <w:pPr>
        <w:pStyle w:val="CompactList"/>
        <w:ind w:left="312" w:hanging="159"/>
      </w:pPr>
      <w:r>
        <w:rPr>
          <w:rFonts w:ascii="Liberation Sans" w:hAnsi="Liberation Sans"/>
          <w:b w:val="0"/>
          <w:i w:val="0"/>
        </w:rPr>
        <w:t>• Zameškanou docházku nelze automaticky převádět, nahrazovat nebo měnit za jiné dny. Výjimku může předem schválit vedení podle kapacity a provozních možností.</w:t>
      </w:r>
    </w:p>
    <w:p>
      <w:pPr>
        <w:pStyle w:val="CompactList"/>
        <w:ind w:left="312" w:hanging="159"/>
      </w:pPr>
      <w:r>
        <w:rPr>
          <w:rFonts w:ascii="Liberation Sans" w:hAnsi="Liberation Sans"/>
          <w:b w:val="0"/>
          <w:i w:val="0"/>
        </w:rPr>
        <w:t>• Dítě musí být vyzvednuto nejpozději do 17:00. Při pozdním vyzvednutí může být účtován poplatek 350 Kč za každou započatou hodinu; opakované pozdní vyzvedávání je závažným porušením provozních pravidel.</w:t>
      </w:r>
    </w:p>
    <w:p>
      <w:pPr>
        <w:pStyle w:val="Heading1"/>
      </w:pPr>
      <w:r>
        <w:t>§ 5  Ukončení docházky</w:t>
      </w:r>
    </w:p>
    <w:p>
      <w:r>
        <w:rPr>
          <w:rFonts w:ascii="Liberation Sans" w:hAnsi="Liberation Sans"/>
          <w:b w:val="0"/>
          <w:i w:val="0"/>
        </w:rPr>
        <w:t>Právní vztah mezi poskytovatelem a rodičem se ukončuje způsobem uvedeným ve smlouvě. Není-li ve smlouvě sjednáno jinak, činí výpovědní doba dva po sobě jdoucí kalendářní měsíce a běží od prvního dne měsíce následujícího po doručení výpovědi.</w:t>
      </w:r>
    </w:p>
    <w:p>
      <w:r>
        <w:rPr>
          <w:rFonts w:ascii="Liberation Sans" w:hAnsi="Liberation Sans"/>
          <w:b/>
          <w:i w:val="0"/>
        </w:rPr>
        <w:t>Poskytovatel může smluvní vztah ukončit zejména při závažném nebo opakovaném porušování smlouvy či těchto pravidel, například když:</w:t>
      </w:r>
    </w:p>
    <w:p>
      <w:pPr>
        <w:pStyle w:val="CompactList"/>
        <w:ind w:left="312" w:hanging="159"/>
      </w:pPr>
      <w:r>
        <w:rPr>
          <w:rFonts w:ascii="Liberation Sans" w:hAnsi="Liberation Sans"/>
          <w:b w:val="0"/>
          <w:i w:val="0"/>
        </w:rPr>
        <w:t>• dítě opakovaně nedochází bez omluvy a rodič nereaguje na výzvy zařízení,</w:t>
      </w:r>
    </w:p>
    <w:p>
      <w:pPr>
        <w:pStyle w:val="CompactList"/>
        <w:ind w:left="312" w:hanging="159"/>
      </w:pPr>
      <w:r>
        <w:rPr>
          <w:rFonts w:ascii="Liberation Sans" w:hAnsi="Liberation Sans"/>
          <w:b w:val="0"/>
          <w:i w:val="0"/>
        </w:rPr>
        <w:t>• rodič opakovaně narušuje provoz, odmítá nezbytnou součinnost nebo nerespektuje pravidla bezpečnosti,</w:t>
      </w:r>
    </w:p>
    <w:p>
      <w:pPr>
        <w:pStyle w:val="CompactList"/>
        <w:ind w:left="312" w:hanging="159"/>
      </w:pPr>
      <w:r>
        <w:rPr>
          <w:rFonts w:ascii="Liberation Sans" w:hAnsi="Liberation Sans"/>
          <w:b w:val="0"/>
          <w:i w:val="0"/>
        </w:rPr>
        <w:t>• není řádně a včas uhrazena sjednaná úhrada za službu, stravné nebo jiné smluvně sjednané platby,</w:t>
      </w:r>
    </w:p>
    <w:p>
      <w:pPr>
        <w:pStyle w:val="CompactList"/>
        <w:ind w:left="312" w:hanging="159"/>
      </w:pPr>
      <w:r>
        <w:rPr>
          <w:rFonts w:ascii="Liberation Sans" w:hAnsi="Liberation Sans"/>
          <w:b w:val="0"/>
          <w:i w:val="0"/>
        </w:rPr>
        <w:t>• vznikne jiný důvod výslovně uvedený ve smlouvě nebo v právních předpisech.</w:t>
      </w:r>
    </w:p>
    <w:p>
      <w:r>
        <w:rPr>
          <w:rFonts w:ascii="Liberation Sans" w:hAnsi="Liberation Sans"/>
          <w:b w:val="0"/>
          <w:i w:val="0"/>
        </w:rPr>
        <w:t>Před ukončením z důvodu porušování povinností poskytovatel zpravidla rodiče na problém upozorní a umožní nápravu, nevyžaduje-li bezpečnost dětí nebo závažnost situace jiný postup. Finanční vypořádání při skončení docházky se řídí smlouvou, aktuálním ceníkem a právními předpisy.</w:t>
      </w:r>
    </w:p>
    <w:p>
      <w:pPr>
        <w:pStyle w:val="Heading1"/>
      </w:pPr>
      <w:r>
        <w:t>§ 6  Provoz, uzavření a mimořádné situace</w:t>
      </w:r>
    </w:p>
    <w:p>
      <w:pPr>
        <w:pStyle w:val="CompactList"/>
        <w:ind w:left="312" w:hanging="159"/>
      </w:pPr>
      <w:r>
        <w:rPr>
          <w:rFonts w:ascii="Liberation Sans" w:hAnsi="Liberation Sans"/>
          <w:b w:val="0"/>
          <w:i w:val="0"/>
        </w:rPr>
        <w:t>• Poskytovatel může v průběhu kalendářního roku plánovaně přerušit poskytování služby, zejména z důvodu čerpání dovolené zaměstnanců, sanitace, oprav nebo organizačních potřeb, a to v součtu nejvýše v rozsahu pěti týdnů, tj. při provozu pondělí až pátek nejvýše 25 provozních dnů v kalendářním roce, nestanoví-li právní předpis jinak. Po dobu takto plánovaného přerušení provozu se měsíční úhrada za službu (školné) nekrátí ani nevrací, pokud písemná smlouva nebo dodatek mezi poskytovatelem a rodičem výslovně neurčí jinak.</w:t>
      </w:r>
    </w:p>
    <w:p>
      <w:pPr>
        <w:pStyle w:val="CompactList"/>
        <w:ind w:left="312" w:hanging="159"/>
      </w:pPr>
      <w:r>
        <w:rPr>
          <w:rFonts w:ascii="Liberation Sans" w:hAnsi="Liberation Sans"/>
          <w:b w:val="0"/>
          <w:i w:val="0"/>
        </w:rPr>
        <w:t>• Plánované přerušení provozu je rodičům oznámeno nejméně 1 měsíc předem, není-li důvod přerušení znám později.</w:t>
      </w:r>
    </w:p>
    <w:p>
      <w:pPr>
        <w:pStyle w:val="CompactList"/>
        <w:ind w:left="312" w:hanging="159"/>
      </w:pPr>
      <w:r>
        <w:rPr>
          <w:rFonts w:ascii="Liberation Sans" w:hAnsi="Liberation Sans"/>
          <w:b w:val="0"/>
          <w:i w:val="0"/>
        </w:rPr>
        <w:t>• Při havárii, výpadku energií, živelní události, epidemii, nařízení orgánu veřejné moci, personální krizové situaci nebo jiném nepředvídatelném důvodu může být provoz omezen nebo uzavřen bez předchozí měsíční lhůty. Rodiče budou informováni bezodkladně.</w:t>
      </w:r>
    </w:p>
    <w:p>
      <w:pPr>
        <w:pStyle w:val="CompactList"/>
        <w:ind w:left="312" w:hanging="159"/>
      </w:pPr>
      <w:r>
        <w:rPr>
          <w:rFonts w:ascii="Liberation Sans" w:hAnsi="Liberation Sans"/>
          <w:b w:val="0"/>
          <w:i w:val="0"/>
        </w:rPr>
        <w:t>• Při mimořádném přerušení provozu z důvodů, které poskytovatel nemohl rozumně předvídat nebo ovlivnit (např. havárie, živelní událost, epidemie, výpadek energií nebo rozhodnutí orgánu veřejné moci), nevzniká nárok na vrácení nebo poměrné snížení školného, pokud písemná smlouva nebo dodatek mezi poskytovatelem a rodičem neurčí jinak.</w:t>
      </w:r>
    </w:p>
    <w:p>
      <w:pPr>
        <w:pStyle w:val="Heading1"/>
      </w:pPr>
      <w:r>
        <w:t>§ 7  Stravování a pitný režim</w:t>
      </w:r>
    </w:p>
    <w:p>
      <w:r>
        <w:rPr>
          <w:rFonts w:ascii="Liberation Sans" w:hAnsi="Liberation Sans"/>
          <w:b w:val="0"/>
          <w:i w:val="0"/>
        </w:rPr>
        <w:t>Stravování je sjednáno ve smlouvě podle rozsahu docházky dítěte. Cena celodenního stravování pro školní rok 2026/2027 činí 110 Kč za den a zahrnuje dopolední svačinu, oběd, odpolední svačinu a celodenní pitný režim. Měsíční záloha na stravné činí 2 500 Kč. Pokud písemný dodatek mezi poskytovatelem a rodičem stanoví jinou cenu, jinou výši zálohy nebo jiný rozsah stravování, použije se ujednání v dodatku. Poskytovatel zajišťuje pitný režim po celou dobu pobytu. Obědy jsou zajišťovány prostřednictvím smluvního dodavatele a svačiny jsou připravovány nebo vydávány v souladu s hygienickými požadavky.</w:t>
      </w:r>
    </w:p>
    <w:p>
      <w:pPr>
        <w:pStyle w:val="CompactList"/>
        <w:ind w:left="312" w:hanging="159"/>
      </w:pPr>
      <w:r>
        <w:rPr>
          <w:rFonts w:ascii="Liberation Sans" w:hAnsi="Liberation Sans"/>
          <w:b w:val="0"/>
          <w:i w:val="0"/>
        </w:rPr>
        <w:t>• Celodenní stravování zpravidla zahrnuje dopolední svačinu, oběd, odpolední svačinu a pitný režim.</w:t>
      </w:r>
    </w:p>
    <w:p>
      <w:pPr>
        <w:pStyle w:val="CompactList"/>
        <w:ind w:left="312" w:hanging="159"/>
      </w:pPr>
      <w:r>
        <w:rPr>
          <w:rFonts w:ascii="Liberation Sans" w:hAnsi="Liberation Sans"/>
          <w:b w:val="0"/>
          <w:i w:val="0"/>
        </w:rPr>
        <w:t>• Stravné činí 110 Kč za den a záloha na stravné 2 500 Kč za měsíc. Záloha se hradí nejpozději do 25. dne měsíce předcházejícího měsíci docházky. Skutečně odebraná strava je následně vyúčtována podle pravidel poskytovatele. Pokud písemný dodatek mezi poskytovatelem a rodičem určí jinak, má tento dodatek přednost.</w:t>
      </w:r>
    </w:p>
    <w:p>
      <w:pPr>
        <w:pStyle w:val="CompactList"/>
        <w:ind w:left="312" w:hanging="159"/>
      </w:pPr>
      <w:r>
        <w:rPr>
          <w:rFonts w:ascii="Liberation Sans" w:hAnsi="Liberation Sans"/>
          <w:b w:val="0"/>
          <w:i w:val="0"/>
        </w:rPr>
        <w:t>• Odhlášení stravy se provádí v termínu a způsobem stanoveným provozovnou; aktuální informace obdrží rodiče od vedoucí pracovnice. Náhlou nemoc dítěte je rodič povinen oznámit co nejdříve.</w:t>
      </w:r>
    </w:p>
    <w:p>
      <w:pPr>
        <w:pStyle w:val="CompactList"/>
        <w:ind w:left="312" w:hanging="159"/>
      </w:pPr>
      <w:r>
        <w:rPr>
          <w:rFonts w:ascii="Liberation Sans" w:hAnsi="Liberation Sans"/>
          <w:b w:val="0"/>
          <w:i w:val="0"/>
        </w:rPr>
        <w:t>• Vlastní stravu lze dítěti přinášet pouze po předchozí dohodě s vedením a za podmínek umožňujících dodržení hygienických pravidel; typicky jde o zdravotně odůvodněnou dietu nebo jinou individuální potřebu.</w:t>
      </w:r>
    </w:p>
    <w:p>
      <w:pPr>
        <w:pStyle w:val="CompactList"/>
        <w:ind w:left="312" w:hanging="159"/>
      </w:pPr>
      <w:r>
        <w:rPr>
          <w:rFonts w:ascii="Liberation Sans" w:hAnsi="Liberation Sans"/>
          <w:b w:val="0"/>
          <w:i w:val="0"/>
        </w:rPr>
        <w:t>• Rodič je povinen informovat o potravinových alergiích a dietních omezeních a jejich změnách.</w:t>
      </w:r>
    </w:p>
    <w:p>
      <w:pPr>
        <w:pStyle w:val="Heading1"/>
      </w:pPr>
      <w:r>
        <w:t>§ 8  Zdraví, hygiena a bezpečnost</w:t>
      </w:r>
    </w:p>
    <w:p>
      <w:pPr>
        <w:pStyle w:val="CompactList"/>
        <w:ind w:left="312" w:hanging="159"/>
      </w:pPr>
      <w:r>
        <w:rPr>
          <w:rFonts w:ascii="Liberation Sans" w:hAnsi="Liberation Sans"/>
          <w:b w:val="0"/>
          <w:i w:val="0"/>
        </w:rPr>
        <w:t>• Rodič přivádí dítě pouze tehdy, je-li jeho zdravotní stav slučitelný s pobytem v kolektivu. Dítě se zjevnými příznaky infekčního nebo akutního onemocnění nemusí být do skupiny přijato.</w:t>
      </w:r>
    </w:p>
    <w:p>
      <w:pPr>
        <w:pStyle w:val="CompactList"/>
        <w:ind w:left="312" w:hanging="159"/>
      </w:pPr>
      <w:r>
        <w:rPr>
          <w:rFonts w:ascii="Liberation Sans" w:hAnsi="Liberation Sans"/>
          <w:b w:val="0"/>
          <w:i w:val="0"/>
        </w:rPr>
        <w:t>• Objeví-li se příznaky onemocnění v průběhu dne, pečující osoba bezodkladně informuje rodiče a zajistí dítěti klid, dohled a oddělení od kolektivu v nezbytném rozsahu. Rodič zajistí převzetí dítěte bez zbytečného odkladu.</w:t>
      </w:r>
    </w:p>
    <w:p>
      <w:pPr>
        <w:pStyle w:val="CompactList"/>
        <w:ind w:left="312" w:hanging="159"/>
      </w:pPr>
      <w:r>
        <w:rPr>
          <w:rFonts w:ascii="Liberation Sans" w:hAnsi="Liberation Sans"/>
          <w:b w:val="0"/>
          <w:i w:val="0"/>
        </w:rPr>
        <w:t>• Při náhlém závažném zhoršení zdravotního stavu, úrazu nebo ohrožení života poskytovatel poskytne první pomoc a podle situace kontaktuje zdravotnickou záchrannou službu; rodiče budou informováni co nejdříve.</w:t>
      </w:r>
    </w:p>
    <w:p>
      <w:pPr>
        <w:pStyle w:val="CompactList"/>
        <w:ind w:left="312" w:hanging="159"/>
      </w:pPr>
      <w:r>
        <w:rPr>
          <w:rFonts w:ascii="Liberation Sans" w:hAnsi="Liberation Sans"/>
          <w:b w:val="0"/>
          <w:i w:val="0"/>
        </w:rPr>
        <w:t>• Léky se dítěti podávají pouze v nezbytných a předem písemně dohodnutých případech, kdy je jasně stanoven způsob a odpovědnost za jejich podání.</w:t>
      </w:r>
    </w:p>
    <w:p>
      <w:pPr>
        <w:pStyle w:val="CompactList"/>
        <w:ind w:left="312" w:hanging="159"/>
      </w:pPr>
      <w:r>
        <w:rPr>
          <w:rFonts w:ascii="Liberation Sans" w:hAnsi="Liberation Sans"/>
          <w:b w:val="0"/>
          <w:i w:val="0"/>
        </w:rPr>
        <w:t>• Rodič průběžně aktualizuje informace o zdravotním stavu dítěte, alergiích, dietách, očkování a dalších skutečnostech, které mohou mít vliv na bezpečné poskytování péče.</w:t>
      </w:r>
    </w:p>
    <w:p>
      <w:pPr>
        <w:pStyle w:val="CompactList"/>
        <w:ind w:left="312" w:hanging="159"/>
      </w:pPr>
      <w:r>
        <w:rPr>
          <w:rFonts w:ascii="Liberation Sans" w:hAnsi="Liberation Sans"/>
          <w:b w:val="0"/>
          <w:i w:val="0"/>
        </w:rPr>
        <w:t>• Do provozovny se nemají nosit nebezpečné předměty, cennosti, drobné předměty nevhodné pro věk dětí ani hračky, které mohou narušit bezpečnost nebo provoz. Výjimku může povolit pečující osoba například v adaptačním období.</w:t>
      </w:r>
    </w:p>
    <w:p>
      <w:pPr>
        <w:pStyle w:val="CompactList"/>
        <w:ind w:left="312" w:hanging="159"/>
      </w:pPr>
      <w:r>
        <w:rPr>
          <w:rFonts w:ascii="Liberation Sans" w:hAnsi="Liberation Sans"/>
          <w:b w:val="0"/>
          <w:i w:val="0"/>
        </w:rPr>
        <w:t>• Za osobní věci odpovídá poskytovatel v rozsahu stanoveném právními předpisy. Doporučuje se věci dítěte označit jménem a nenosit do zařízení cennosti.</w:t>
      </w:r>
    </w:p>
    <w:p>
      <w:pPr>
        <w:pStyle w:val="Heading1"/>
      </w:pPr>
      <w:r>
        <w:t>§ 9  Úhrada za službu, stravné a další platby</w:t>
      </w:r>
    </w:p>
    <w:p>
      <w:r>
        <w:rPr>
          <w:rFonts w:ascii="Liberation Sans" w:hAnsi="Liberation Sans"/>
          <w:b w:val="0"/>
          <w:i w:val="0"/>
        </w:rPr>
        <w:t>Služba je poskytována s částečnou úhradou rodiče. Pro školní rok 2026/2027 činí standardní měsíční školné při celodenní docházce 4 000 Kč pro dítě do 3 let věku a 5 000 Kč pro dítě od 3 let věku do zahájení povinné školní docházky. Je-li ve smlouvě sjednána polodenní docházka v čase 7:00–13:00, činí školné 90 Kč za den. U konkrétního dítěte může být cena, rozsah docházky nebo způsob úhrady upraven písemným dodatkem uzavřeným mezi poskytovatelem a rodičem; v takovém případě má ujednání v dodatku přednost. Poskytovatel při stanovení úhrady respektuje případnou zákonnou maximální výši úhrady u míst, na která čerpá příspěvek na provoz dětské skupiny.</w:t>
      </w:r>
    </w:p>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2835"/>
        <w:gridCol w:w="6463"/>
      </w:tblGrid>
      <w:tr>
        <w:trPr>
          <w:cantSplit/>
        </w:trPr>
        <w:tc>
          <w:tcPr>
            <w:tcW w:type="dxa" w:w="5156"/>
            <w:shd w:fill="F3F5F4"/>
            <w:tcMar>
              <w:top w:w="80" w:type="dxa"/>
              <w:start w:w="90" w:type="dxa"/>
              <w:bottom w:w="80" w:type="dxa"/>
              <w:end w:w="90" w:type="dxa"/>
            </w:tcMar>
          </w:tcPr>
          <w:p>
            <w:pPr>
              <w:spacing w:after="0" w:before="0"/>
            </w:pPr>
            <w:r>
              <w:rPr>
                <w:rFonts w:ascii="Aptos" w:hAnsi="Aptos"/>
                <w:sz w:val="18"/>
              </w:rPr>
              <w:t>Školné – celodenní docházka, dítě do 3 let</w:t>
            </w:r>
          </w:p>
        </w:tc>
        <w:tc>
          <w:tcPr>
            <w:tcW w:type="dxa" w:w="5156"/>
            <w:tcMar>
              <w:top w:w="80" w:type="dxa"/>
              <w:start w:w="90" w:type="dxa"/>
              <w:bottom w:w="80" w:type="dxa"/>
              <w:end w:w="90" w:type="dxa"/>
            </w:tcMar>
          </w:tcPr>
          <w:p>
            <w:pPr>
              <w:spacing w:after="0" w:before="0"/>
            </w:pPr>
            <w:r>
              <w:rPr>
                <w:rFonts w:ascii="Aptos" w:hAnsi="Aptos"/>
                <w:sz w:val="18"/>
              </w:rPr>
              <w:t>4 000 Kč / měsíc</w:t>
            </w:r>
          </w:p>
        </w:tc>
      </w:tr>
      <w:tr>
        <w:trPr>
          <w:cantSplit/>
        </w:trPr>
        <w:tc>
          <w:tcPr>
            <w:tcW w:type="dxa" w:w="5156"/>
            <w:shd w:fill="F3F5F4"/>
            <w:tcMar>
              <w:top w:w="80" w:type="dxa"/>
              <w:start w:w="90" w:type="dxa"/>
              <w:bottom w:w="80" w:type="dxa"/>
              <w:end w:w="90" w:type="dxa"/>
            </w:tcMar>
          </w:tcPr>
          <w:p>
            <w:pPr>
              <w:spacing w:before="0" w:after="0"/>
            </w:pPr>
            <w:r>
              <w:t>Školné – celodenní docházka, dítě od 3 let</w:t>
            </w:r>
          </w:p>
        </w:tc>
        <w:tc>
          <w:tcPr>
            <w:tcW w:type="dxa" w:w="5156"/>
            <w:tcMar>
              <w:top w:w="80" w:type="dxa"/>
              <w:start w:w="90" w:type="dxa"/>
              <w:bottom w:w="80" w:type="dxa"/>
              <w:end w:w="90" w:type="dxa"/>
            </w:tcMar>
          </w:tcPr>
          <w:p>
            <w:pPr>
              <w:spacing w:after="0" w:before="0"/>
            </w:pPr>
            <w:r>
              <w:rPr>
                <w:rFonts w:ascii="Aptos" w:hAnsi="Aptos"/>
                <w:sz w:val="18"/>
              </w:rPr>
              <w:t>5 000 Kč / měsíc</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Školné – polodenní docházka 7:00–13:00</w:t>
            </w:r>
          </w:p>
        </w:tc>
        <w:tc>
          <w:tcPr>
            <w:tcW w:type="dxa" w:w="5156"/>
            <w:tcMar>
              <w:top w:w="80" w:type="dxa"/>
              <w:start w:w="90" w:type="dxa"/>
              <w:bottom w:w="80" w:type="dxa"/>
              <w:end w:w="90" w:type="dxa"/>
            </w:tcMar>
          </w:tcPr>
          <w:p>
            <w:pPr>
              <w:spacing w:after="0" w:before="0"/>
            </w:pPr>
            <w:r>
              <w:rPr>
                <w:rFonts w:ascii="Aptos" w:hAnsi="Aptos"/>
                <w:sz w:val="18"/>
              </w:rPr>
              <w:t>90 Kč / den, je-li sjednáno ve smlouvě</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Celodenní stravné</w:t>
            </w:r>
          </w:p>
        </w:tc>
        <w:tc>
          <w:tcPr>
            <w:tcW w:type="dxa" w:w="5156"/>
            <w:tcMar>
              <w:top w:w="80" w:type="dxa"/>
              <w:start w:w="90" w:type="dxa"/>
              <w:bottom w:w="80" w:type="dxa"/>
              <w:end w:w="90" w:type="dxa"/>
            </w:tcMar>
          </w:tcPr>
          <w:p>
            <w:pPr>
              <w:spacing w:after="0" w:before="0"/>
            </w:pPr>
            <w:r>
              <w:rPr>
                <w:rFonts w:ascii="Aptos" w:hAnsi="Aptos"/>
                <w:sz w:val="18"/>
              </w:rPr>
              <w:t>110 Kč / den</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Měsíční záloha na stravné</w:t>
            </w:r>
          </w:p>
        </w:tc>
        <w:tc>
          <w:tcPr>
            <w:tcW w:type="dxa" w:w="5156"/>
            <w:tcMar>
              <w:top w:w="80" w:type="dxa"/>
              <w:start w:w="90" w:type="dxa"/>
              <w:bottom w:w="80" w:type="dxa"/>
              <w:end w:w="90" w:type="dxa"/>
            </w:tcMar>
          </w:tcPr>
          <w:p>
            <w:pPr>
              <w:spacing w:after="0" w:before="0"/>
            </w:pPr>
            <w:r>
              <w:rPr>
                <w:rFonts w:ascii="Aptos" w:hAnsi="Aptos"/>
                <w:sz w:val="18"/>
              </w:rPr>
              <w:t>2 500 Kč / měsíc</w:t>
            </w:r>
          </w:p>
        </w:tc>
      </w:tr>
      <w:tr>
        <w:trPr>
          <w:cantSplit/>
        </w:trPr>
        <w:tc>
          <w:tcPr>
            <w:tcW w:type="dxa" w:w="5156"/>
            <w:shd w:fill="F3F5F4"/>
            <w:tcMar>
              <w:top w:w="80" w:type="dxa"/>
              <w:start w:w="90" w:type="dxa"/>
              <w:bottom w:w="80" w:type="dxa"/>
              <w:end w:w="90" w:type="dxa"/>
            </w:tcMar>
          </w:tcPr>
          <w:p>
            <w:pPr>
              <w:spacing w:after="0" w:before="0"/>
            </w:pPr>
            <w:r>
              <w:rPr>
                <w:rFonts w:ascii="Aptos" w:hAnsi="Aptos"/>
                <w:sz w:val="18"/>
              </w:rPr>
              <w:t>Individuální úprava ceny</w:t>
            </w:r>
          </w:p>
        </w:tc>
        <w:tc>
          <w:tcPr>
            <w:tcW w:type="dxa" w:w="5156"/>
            <w:tcMar>
              <w:top w:w="80" w:type="dxa"/>
              <w:start w:w="90" w:type="dxa"/>
              <w:bottom w:w="80" w:type="dxa"/>
              <w:end w:w="90" w:type="dxa"/>
            </w:tcMar>
          </w:tcPr>
          <w:p>
            <w:pPr>
              <w:spacing w:after="0" w:before="0"/>
            </w:pPr>
            <w:r>
              <w:rPr>
                <w:rFonts w:ascii="Aptos" w:hAnsi="Aptos"/>
                <w:sz w:val="18"/>
              </w:rPr>
              <w:t>písemný dodatek mezi poskytovatelem a rodičem má přednost</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Splatnost školného</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nejpozději do 25. dne měsíce předcházejícího měsíci docházky</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Splatnost zálohy na stravné</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nejpozději do 25. dne měsíce předcházejícího měsíci docházky</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Bankovní účet</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246253075/0600</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Kauce</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je-li sjednána smlouvou, hradí se před nástupem dítěte; její výše a vypořádání se řídí smlouvou</w:t>
            </w:r>
          </w:p>
        </w:tc>
      </w:tr>
      <w:tr>
        <w:trPr>
          <w:cantSplit/>
        </w:trPr>
        <w:tc>
          <w:tcPr>
            <w:tcW w:type="dxa" w:w="5156"/>
            <w:shd w:fill="F3F5F4"/>
            <w:tcMar>
              <w:top w:w="80" w:type="dxa"/>
              <w:start w:w="90" w:type="dxa"/>
              <w:bottom w:w="80" w:type="dxa"/>
              <w:end w:w="90" w:type="dxa"/>
            </w:tcMar>
          </w:tcPr>
          <w:p>
            <w:pPr>
              <w:spacing w:after="0" w:before="0"/>
            </w:pPr>
            <w:r>
              <w:rPr>
                <w:rFonts w:ascii="Liberation Sans" w:hAnsi="Liberation Sans"/>
                <w:b/>
                <w:i w:val="0"/>
                <w:color w:val="2E4A3F"/>
                <w:sz w:val="17"/>
              </w:rPr>
              <w:t>Třídní fond / akce</w:t>
            </w:r>
          </w:p>
        </w:tc>
        <w:tc>
          <w:tcPr>
            <w:tcW w:type="dxa" w:w="5156"/>
            <w:tcMar>
              <w:top w:w="80" w:type="dxa"/>
              <w:start w:w="90" w:type="dxa"/>
              <w:bottom w:w="80" w:type="dxa"/>
              <w:end w:w="90" w:type="dxa"/>
            </w:tcMar>
          </w:tcPr>
          <w:p>
            <w:pPr>
              <w:spacing w:after="0" w:before="0"/>
            </w:pPr>
            <w:r>
              <w:rPr>
                <w:rFonts w:ascii="Liberation Sans" w:hAnsi="Liberation Sans"/>
                <w:b w:val="0"/>
                <w:i w:val="0"/>
                <w:sz w:val="17"/>
              </w:rPr>
              <w:t>výše a termín úhrady jsou rodičům oznámeny pro daný školní rok nebo pololetí; v 1. pololetí zpravidla do poloviny září</w:t>
            </w:r>
          </w:p>
        </w:tc>
      </w:tr>
    </w:tbl>
    <w:p>
      <w:pPr>
        <w:pStyle w:val="CompactList"/>
        <w:ind w:left="312" w:hanging="159"/>
      </w:pPr>
      <w:r>
        <w:rPr>
          <w:rFonts w:ascii="Liberation Sans" w:hAnsi="Liberation Sans"/>
          <w:b w:val="0"/>
          <w:i w:val="0"/>
        </w:rPr>
        <w:t>• Nepřítomnost dítěte z důvodu nemoci, dovolené nebo jiné osobní překážky nezakládá nárok na snížení nebo vrácení školného ani na náhradu zameškaných dnů. Stejně tak se školné nekrátí za plánované přerušení provozu v rozsahu podle § 6 těchto pravidel. Jiný postup je možný pouze tehdy, stanoví-li jej písemná smlouva nebo dodatek mezi poskytovatelem a rodičem.</w:t>
      </w:r>
    </w:p>
    <w:p>
      <w:pPr>
        <w:pStyle w:val="CompactList"/>
        <w:ind w:left="312" w:hanging="159"/>
      </w:pPr>
      <w:r>
        <w:rPr>
          <w:rFonts w:ascii="Liberation Sans" w:hAnsi="Liberation Sans"/>
          <w:b w:val="0"/>
          <w:i w:val="0"/>
        </w:rPr>
        <w:t>• Neuhrazení splatné platby může být po předchozím upozornění důvodem k nepřijetí dítěte do docházky nebo k ukončení smluvního vztahu, stanoví-li to smlouva.</w:t>
      </w:r>
    </w:p>
    <w:p>
      <w:pPr>
        <w:pStyle w:val="CompactList"/>
        <w:ind w:left="312" w:hanging="159"/>
      </w:pPr>
      <w:r>
        <w:rPr>
          <w:rFonts w:ascii="Liberation Sans" w:hAnsi="Liberation Sans"/>
          <w:b w:val="0"/>
          <w:i w:val="0"/>
        </w:rPr>
        <w:t>• Veškeré běžné platby se provádějí bezhotovostně na účet 246253075/0600. Rodič uvede identifikaci dítěte způsobem sděleným provozovatelem.</w:t>
      </w:r>
    </w:p>
    <w:p>
      <w:pPr>
        <w:pStyle w:val="Heading1"/>
      </w:pPr>
      <w:r>
        <w:t>§ 10  Komunikace s rodiči a organizace akcí</w:t>
      </w:r>
    </w:p>
    <w:p>
      <w:pPr>
        <w:pStyle w:val="CompactList"/>
        <w:ind w:left="312" w:hanging="159"/>
      </w:pPr>
      <w:r>
        <w:rPr>
          <w:rFonts w:ascii="Liberation Sans" w:hAnsi="Liberation Sans"/>
          <w:b w:val="0"/>
          <w:i w:val="0"/>
        </w:rPr>
        <w:t>• Aktuální informace o provozu, akcích, uzavření, změnách režimu a dalších organizačních záležitostech jsou rodičům sdělovány e-mailem, prostřednictvím nástěnky, webových stránek nebo jiným běžně používaným komunikačním kanálem.</w:t>
      </w:r>
    </w:p>
    <w:p>
      <w:pPr>
        <w:pStyle w:val="CompactList"/>
        <w:ind w:left="312" w:hanging="159"/>
      </w:pPr>
      <w:r>
        <w:rPr>
          <w:rFonts w:ascii="Liberation Sans" w:hAnsi="Liberation Sans"/>
          <w:b w:val="0"/>
          <w:i w:val="0"/>
        </w:rPr>
        <w:t>• Přehled plánovaných akcí je zveřejňován průběžně, zpravidla každý měsíc na webu a/nebo nástěnce.</w:t>
      </w:r>
    </w:p>
    <w:p>
      <w:pPr>
        <w:pStyle w:val="CompactList"/>
        <w:ind w:left="312" w:hanging="159"/>
      </w:pPr>
      <w:r>
        <w:rPr>
          <w:rFonts w:ascii="Liberation Sans" w:hAnsi="Liberation Sans"/>
          <w:b w:val="0"/>
          <w:i w:val="0"/>
        </w:rPr>
        <w:t>• Rodiče se mohou s provozními dotazy obracet nejprve na vedoucí pracovnici Michaelu Habigerovou, případně na zástupce ředitelky Stanislava Stárka nebo ředitelku Mgr. Ing. Miladu Stárkovou.</w:t>
      </w:r>
    </w:p>
    <w:p>
      <w:pPr>
        <w:pStyle w:val="CompactList"/>
        <w:ind w:left="312" w:hanging="159"/>
      </w:pPr>
      <w:r>
        <w:rPr>
          <w:rFonts w:ascii="Liberation Sans" w:hAnsi="Liberation Sans"/>
          <w:b w:val="0"/>
          <w:i w:val="0"/>
        </w:rPr>
        <w:t>• Rodič je povinen sledovat provozní oznámení a bezodkladně informovat zařízení o změně telefonu, e-mailu, adresy nebo osob oprávněných k vyzvedávání dítěte.</w:t>
      </w:r>
    </w:p>
    <w:p>
      <w:pPr>
        <w:pStyle w:val="Heading1"/>
      </w:pPr>
      <w:r>
        <w:t>§ 11  Ochrana osobních údajů</w:t>
      </w:r>
    </w:p>
    <w:p>
      <w:r>
        <w:rPr>
          <w:rFonts w:ascii="Liberation Sans" w:hAnsi="Liberation Sans"/>
          <w:b w:val="0"/>
          <w:i w:val="0"/>
        </w:rPr>
        <w:t>Poskytovatel zpracovává osobní údaje dítěte, rodičů a pověřených osob pouze v rozsahu nezbytném pro poskytování služby, plnění zákonných povinností a ochranu práv a bezpečnosti dětí. Informace o zpracování osobních údajů jsou rodičům zpřístupněny samostatně. Fotografie a jiné záznamy nad rámec zákonných povinností jsou pořizovány a používány v souladu s udělenými souhlasy a příslušnými právními předpisy.</w:t>
      </w:r>
    </w:p>
    <w:p>
      <w:pPr>
        <w:pStyle w:val="Heading1"/>
      </w:pPr>
      <w:r>
        <w:t>§ 12  Závěrečná ustanovení</w:t>
      </w:r>
    </w:p>
    <w:p>
      <w:pPr>
        <w:pStyle w:val="CompactList"/>
        <w:ind w:left="312" w:hanging="159"/>
      </w:pPr>
      <w:r>
        <w:rPr>
          <w:rFonts w:ascii="Liberation Sans" w:hAnsi="Liberation Sans"/>
          <w:b w:val="0"/>
          <w:i w:val="0"/>
        </w:rPr>
        <w:t>• Tato vnitřní pravidla jsou přístupná rodičům v provozovně a způsobem umožňujícím dálkový přístup.</w:t>
      </w:r>
    </w:p>
    <w:p>
      <w:pPr>
        <w:pStyle w:val="CompactList"/>
        <w:ind w:left="312" w:hanging="159"/>
      </w:pPr>
      <w:r>
        <w:rPr>
          <w:rFonts w:ascii="Liberation Sans" w:hAnsi="Liberation Sans"/>
          <w:b w:val="0"/>
          <w:i w:val="0"/>
        </w:rPr>
        <w:t>• Poskytovatel může pravidla přiměřeně měnit zejména při změně právních předpisů, provozních podmínek nebo organizace služby. O změně budou rodiče informováni a jsou povinni se s ní seznámit.</w:t>
      </w:r>
    </w:p>
    <w:p>
      <w:pPr>
        <w:pStyle w:val="CompactList"/>
        <w:ind w:left="312" w:hanging="159"/>
      </w:pPr>
      <w:r>
        <w:rPr>
          <w:rFonts w:ascii="Liberation Sans" w:hAnsi="Liberation Sans"/>
          <w:b w:val="0"/>
          <w:i w:val="0"/>
        </w:rPr>
        <w:t>• Práva rodiče při změně vnitřních pravidel se řídí zákonem a uzavřenou smlouvou.</w:t>
      </w:r>
    </w:p>
    <w:p>
      <w:pPr>
        <w:pStyle w:val="CompactList"/>
        <w:ind w:left="312" w:hanging="159"/>
      </w:pPr>
      <w:r>
        <w:rPr>
          <w:rFonts w:ascii="Liberation Sans" w:hAnsi="Liberation Sans"/>
          <w:b w:val="0"/>
          <w:i w:val="0"/>
        </w:rPr>
        <w:t>• V otázkách výslovně neupravených těmito pravidly se postupuje podle smlouvy o poskytování služby, aktuálního ceníku a platných právních předpisů.</w:t>
      </w:r>
    </w:p>
    <w:p>
      <w:pPr>
        <w:pStyle w:val="CompactList"/>
        <w:ind w:left="312" w:hanging="159"/>
      </w:pPr>
      <w:r>
        <w:rPr>
          <w:rFonts w:ascii="Liberation Sans" w:hAnsi="Liberation Sans"/>
          <w:b w:val="0"/>
          <w:i w:val="0"/>
        </w:rPr>
        <w:t>• Tato verze nahrazuje předchozí provozní řád pro školní rok 2025/2026 a je účinná od 1. 9. 2026.</w:t>
      </w:r>
    </w:p>
    <w:p>
      <w:pPr>
        <w:spacing w:before="60" w:after="60"/>
      </w:pPr>
      <w:r>
        <w:rPr>
          <w:rFonts w:ascii="Liberation Sans" w:hAnsi="Liberation Sans"/>
          <w:b w:val="0"/>
          <w:i w:val="0"/>
          <w:color w:val="6B6B6B"/>
          <w:sz w:val="17"/>
        </w:rPr>
        <w:t>V Berouně dne 2. 9. 2026</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061"/>
        <w:gridCol w:w="3061"/>
      </w:tblGrid>
      <w:tr>
        <w:trPr>
          <w:cantSplit/>
        </w:trPr>
        <w:tc>
          <w:tcPr>
            <w:tcW w:type="dxa" w:w="3437"/>
            <w:tcMar>
              <w:top w:w="260" w:type="dxa"/>
              <w:start w:w="100" w:type="dxa"/>
              <w:bottom w:w="30" w:type="dxa"/>
              <w:end w:w="100" w:type="dxa"/>
            </w:tcMar>
          </w:tcPr>
          <w:p>
            <w:pPr>
              <w:spacing w:before="0" w:after="0"/>
              <w:jc w:val="center"/>
            </w:pPr>
            <w:r>
              <w:rPr>
                <w:rFonts w:ascii="Liberation Sans" w:hAnsi="Liberation Sans"/>
                <w:b w:val="0"/>
                <w:i w:val="0"/>
                <w:color w:val="888888"/>
                <w:sz w:val="17"/>
              </w:rPr>
              <w:t>________________________</w:t>
            </w:r>
          </w:p>
        </w:tc>
        <w:tc>
          <w:tcPr>
            <w:tcW w:type="dxa" w:w="3437"/>
            <w:tcMar>
              <w:top w:w="260" w:type="dxa"/>
              <w:start w:w="100" w:type="dxa"/>
              <w:bottom w:w="30" w:type="dxa"/>
              <w:end w:w="100" w:type="dxa"/>
            </w:tcMar>
          </w:tcPr>
          <w:p>
            <w:pPr>
              <w:spacing w:before="0" w:after="0"/>
              <w:jc w:val="center"/>
            </w:pPr>
            <w:r>
              <w:rPr>
                <w:rFonts w:ascii="Liberation Sans" w:hAnsi="Liberation Sans"/>
                <w:b w:val="0"/>
                <w:i w:val="0"/>
                <w:color w:val="888888"/>
                <w:sz w:val="17"/>
              </w:rPr>
              <w:t>________________________</w:t>
            </w:r>
          </w:p>
        </w:tc>
        <w:tc>
          <w:tcPr>
            <w:tcW w:type="dxa" w:w="3437"/>
            <w:tcMar>
              <w:top w:w="260" w:type="dxa"/>
              <w:start w:w="100" w:type="dxa"/>
              <w:bottom w:w="30" w:type="dxa"/>
              <w:end w:w="100" w:type="dxa"/>
            </w:tcMar>
          </w:tcPr>
          <w:p>
            <w:pPr>
              <w:spacing w:before="0" w:after="0"/>
              <w:jc w:val="center"/>
            </w:pPr>
            <w:r>
              <w:rPr>
                <w:rFonts w:ascii="Liberation Sans" w:hAnsi="Liberation Sans"/>
                <w:b w:val="0"/>
                <w:i w:val="0"/>
                <w:color w:val="888888"/>
                <w:sz w:val="17"/>
              </w:rPr>
              <w:t>________________________</w:t>
            </w:r>
          </w:p>
        </w:tc>
      </w:tr>
      <w:tr>
        <w:trPr>
          <w:cantSplit/>
        </w:trPr>
        <w:tc>
          <w:tcPr>
            <w:tcW w:type="dxa" w:w="3437"/>
            <w:tcMar>
              <w:top w:w="0" w:type="dxa"/>
              <w:start w:w="100" w:type="dxa"/>
              <w:bottom w:w="0" w:type="dxa"/>
              <w:end w:w="100" w:type="dxa"/>
            </w:tcMar>
          </w:tcPr>
          <w:p>
            <w:pPr>
              <w:spacing w:after="0" w:before="0"/>
              <w:jc w:val="center"/>
            </w:pPr>
            <w:r>
              <w:rPr>
                <w:rFonts w:ascii="Liberation Sans" w:hAnsi="Liberation Sans"/>
                <w:b/>
                <w:i w:val="0"/>
                <w:color w:val="2E4A3F"/>
                <w:sz w:val="17"/>
              </w:rPr>
              <w:t>Mgr. Ing. Milada Stárková</w:t>
            </w:r>
          </w:p>
          <w:p>
            <w:pPr>
              <w:spacing w:after="0" w:before="0"/>
              <w:jc w:val="center"/>
            </w:pPr>
            <w:r>
              <w:rPr>
                <w:rFonts w:ascii="Liberation Sans" w:hAnsi="Liberation Sans"/>
                <w:b w:val="0"/>
                <w:i w:val="0"/>
                <w:color w:val="6B6B6B"/>
                <w:sz w:val="16"/>
              </w:rPr>
              <w:t>ředitelka zařízení</w:t>
            </w:r>
          </w:p>
        </w:tc>
        <w:tc>
          <w:tcPr>
            <w:tcW w:type="dxa" w:w="3437"/>
            <w:tcMar>
              <w:top w:w="0" w:type="dxa"/>
              <w:start w:w="100" w:type="dxa"/>
              <w:bottom w:w="0" w:type="dxa"/>
              <w:end w:w="100" w:type="dxa"/>
            </w:tcMar>
          </w:tcPr>
          <w:p>
            <w:pPr>
              <w:spacing w:after="0" w:before="0"/>
              <w:jc w:val="center"/>
            </w:pPr>
            <w:r>
              <w:rPr>
                <w:rFonts w:ascii="Liberation Sans" w:hAnsi="Liberation Sans"/>
                <w:b/>
                <w:i w:val="0"/>
                <w:color w:val="2E4A3F"/>
                <w:sz w:val="17"/>
              </w:rPr>
              <w:t>Stanislav Stárek</w:t>
            </w:r>
          </w:p>
          <w:p>
            <w:pPr>
              <w:spacing w:after="0" w:before="0"/>
              <w:jc w:val="center"/>
            </w:pPr>
            <w:r>
              <w:rPr>
                <w:rFonts w:ascii="Liberation Sans" w:hAnsi="Liberation Sans"/>
                <w:b w:val="0"/>
                <w:i w:val="0"/>
                <w:color w:val="6B6B6B"/>
                <w:sz w:val="16"/>
              </w:rPr>
              <w:t>zástupce ředitelky</w:t>
            </w:r>
          </w:p>
        </w:tc>
        <w:tc>
          <w:tcPr>
            <w:tcW w:type="dxa" w:w="3437"/>
            <w:tcMar>
              <w:top w:w="0" w:type="dxa"/>
              <w:start w:w="100" w:type="dxa"/>
              <w:bottom w:w="0" w:type="dxa"/>
              <w:end w:w="100" w:type="dxa"/>
            </w:tcMar>
          </w:tcPr>
          <w:p>
            <w:pPr>
              <w:spacing w:after="0" w:before="0"/>
              <w:jc w:val="center"/>
            </w:pPr>
            <w:r>
              <w:rPr>
                <w:rFonts w:ascii="Liberation Sans" w:hAnsi="Liberation Sans"/>
                <w:b/>
                <w:i w:val="0"/>
                <w:color w:val="2E4A3F"/>
                <w:sz w:val="17"/>
              </w:rPr>
              <w:t>Michaela Habigerová</w:t>
            </w:r>
          </w:p>
          <w:p>
            <w:pPr>
              <w:spacing w:after="0" w:before="0"/>
              <w:jc w:val="center"/>
            </w:pPr>
            <w:r>
              <w:rPr>
                <w:rFonts w:ascii="Liberation Sans" w:hAnsi="Liberation Sans"/>
                <w:b w:val="0"/>
                <w:i w:val="0"/>
                <w:color w:val="6B6B6B"/>
                <w:sz w:val="16"/>
              </w:rPr>
              <w:t>vedoucí pracovnice</w:t>
            </w:r>
          </w:p>
        </w:tc>
      </w:tr>
    </w:tbl>
    <w:p>
      <w:pPr>
        <w:spacing w:before="60" w:after="60"/>
      </w:pPr>
      <w:r>
        <w:rPr>
          <w:rFonts w:ascii="Liberation Sans" w:hAnsi="Liberation Sans"/>
          <w:b/>
          <w:i w:val="0"/>
          <w:color w:val="2E4A3F"/>
          <w:sz w:val="18"/>
        </w:rPr>
        <w:t>POTVRZENÍ RODIČE O SEZNÁMENÍ S VNITŘNÍMI PRAVIDLY</w:t>
      </w:r>
    </w:p>
    <w:tbl>
      <w:tblPr>
        <w:tblW w:type="auto" w:w="0"/>
        <w:jc w:val="center"/>
        <w:tblLayout w:type="fixed"/>
        <w:tblLook w:firstColumn="1" w:firstRow="1" w:lastColumn="0" w:lastRow="0" w:noHBand="0" w:noVBand="1" w:val="04A0"/>
        <w:tblBorders>
          <w:top w:val="single" w:sz="4" w:space="0" w:color="D4D9D6"/>
          <w:left w:val="single" w:sz="4" w:space="0" w:color="D4D9D6"/>
          <w:bottom w:val="single" w:sz="4" w:space="0" w:color="D4D9D6"/>
          <w:right w:val="single" w:sz="4" w:space="0" w:color="D4D9D6"/>
          <w:insideH w:val="single" w:sz="4" w:space="0" w:color="D4D9D6"/>
          <w:insideV w:val="single" w:sz="4" w:space="0" w:color="D4D9D6"/>
        </w:tblBorders>
      </w:tblPr>
      <w:tblGrid>
        <w:gridCol w:w="3005"/>
        <w:gridCol w:w="6293"/>
      </w:tblGrid>
      <w:tr>
        <w:trPr>
          <w:cantSplit/>
        </w:trPr>
        <w:tc>
          <w:tcPr>
            <w:tcW w:type="dxa" w:w="5156"/>
            <w:shd w:fill="F3F5F4"/>
            <w:tcMar>
              <w:top w:w="100" w:type="dxa"/>
              <w:start w:w="90" w:type="dxa"/>
              <w:bottom w:w="100" w:type="dxa"/>
              <w:end w:w="90" w:type="dxa"/>
            </w:tcMar>
          </w:tcPr>
          <w:p>
            <w:pPr>
              <w:spacing w:after="0" w:before="0"/>
            </w:pPr>
            <w:r>
              <w:rPr>
                <w:rFonts w:ascii="Liberation Sans" w:hAnsi="Liberation Sans"/>
                <w:b/>
                <w:i w:val="0"/>
                <w:color w:val="2E4A3F"/>
                <w:sz w:val="17"/>
              </w:rPr>
              <w:t>Jméno dítěte</w:t>
            </w:r>
          </w:p>
        </w:tc>
        <w:tc>
          <w:tcPr>
            <w:tcW w:type="dxa" w:w="5156"/>
            <w:tcMar>
              <w:top w:w="100" w:type="dxa"/>
              <w:start w:w="90" w:type="dxa"/>
              <w:bottom w:w="100" w:type="dxa"/>
              <w:end w:w="90" w:type="dxa"/>
            </w:tcMar>
          </w:tcPr>
          <w:p>
            <w:pPr>
              <w:spacing w:after="0" w:before="0"/>
            </w:pPr>
            <w:r>
              <w:rPr>
                <w:rFonts w:ascii="Liberation Sans" w:hAnsi="Liberation Sans"/>
                <w:b w:val="0"/>
                <w:i w:val="0"/>
                <w:sz w:val="17"/>
              </w:rPr>
              <w:t xml:space="preserve"> </w:t>
            </w:r>
          </w:p>
        </w:tc>
      </w:tr>
      <w:tr>
        <w:trPr>
          <w:cantSplit/>
        </w:trPr>
        <w:tc>
          <w:tcPr>
            <w:tcW w:type="dxa" w:w="5156"/>
            <w:shd w:fill="F3F5F4"/>
            <w:tcMar>
              <w:top w:w="100" w:type="dxa"/>
              <w:start w:w="90" w:type="dxa"/>
              <w:bottom w:w="100" w:type="dxa"/>
              <w:end w:w="90" w:type="dxa"/>
            </w:tcMar>
          </w:tcPr>
          <w:p>
            <w:pPr>
              <w:spacing w:after="0" w:before="0"/>
            </w:pPr>
            <w:r>
              <w:rPr>
                <w:rFonts w:ascii="Liberation Sans" w:hAnsi="Liberation Sans"/>
                <w:b/>
                <w:i w:val="0"/>
                <w:color w:val="2E4A3F"/>
                <w:sz w:val="17"/>
              </w:rPr>
              <w:t>Jméno rodiče / zákonného zástupce</w:t>
            </w:r>
          </w:p>
        </w:tc>
        <w:tc>
          <w:tcPr>
            <w:tcW w:type="dxa" w:w="5156"/>
            <w:tcMar>
              <w:top w:w="100" w:type="dxa"/>
              <w:start w:w="90" w:type="dxa"/>
              <w:bottom w:w="100" w:type="dxa"/>
              <w:end w:w="90" w:type="dxa"/>
            </w:tcMar>
          </w:tcPr>
          <w:p>
            <w:pPr>
              <w:spacing w:after="0" w:before="0"/>
            </w:pPr>
            <w:r>
              <w:rPr>
                <w:rFonts w:ascii="Liberation Sans" w:hAnsi="Liberation Sans"/>
                <w:b w:val="0"/>
                <w:i w:val="0"/>
                <w:sz w:val="17"/>
              </w:rPr>
              <w:t xml:space="preserve"> </w:t>
            </w:r>
          </w:p>
        </w:tc>
      </w:tr>
      <w:tr>
        <w:trPr>
          <w:cantSplit/>
        </w:trPr>
        <w:tc>
          <w:tcPr>
            <w:tcW w:type="dxa" w:w="5156"/>
            <w:shd w:fill="F3F5F4"/>
            <w:tcMar>
              <w:top w:w="100" w:type="dxa"/>
              <w:start w:w="90" w:type="dxa"/>
              <w:bottom w:w="100" w:type="dxa"/>
              <w:end w:w="90" w:type="dxa"/>
            </w:tcMar>
          </w:tcPr>
          <w:p>
            <w:pPr>
              <w:spacing w:after="0" w:before="0"/>
            </w:pPr>
            <w:r>
              <w:rPr>
                <w:rFonts w:ascii="Liberation Sans" w:hAnsi="Liberation Sans"/>
                <w:b/>
                <w:i w:val="0"/>
                <w:color w:val="2E4A3F"/>
                <w:sz w:val="17"/>
              </w:rPr>
              <w:t>Datum a podpis</w:t>
            </w:r>
          </w:p>
        </w:tc>
        <w:tc>
          <w:tcPr>
            <w:tcW w:type="dxa" w:w="5156"/>
            <w:tcMar>
              <w:top w:w="100" w:type="dxa"/>
              <w:start w:w="90" w:type="dxa"/>
              <w:bottom w:w="100" w:type="dxa"/>
              <w:end w:w="90" w:type="dxa"/>
            </w:tcMar>
          </w:tcPr>
          <w:p>
            <w:pPr>
              <w:spacing w:after="0" w:before="0"/>
            </w:pPr>
            <w:r>
              <w:rPr>
                <w:rFonts w:ascii="Liberation Sans" w:hAnsi="Liberation Sans"/>
                <w:b w:val="0"/>
                <w:i w:val="0"/>
                <w:sz w:val="17"/>
              </w:rPr>
              <w:t xml:space="preserve"> </w:t>
            </w:r>
          </w:p>
        </w:tc>
      </w:tr>
    </w:tbl>
    <w:sectPr w:rsidR="00FC693F" w:rsidRPr="0006063C" w:rsidSect="00034616">
      <w:headerReference w:type="default" r:id="rId9"/>
      <w:footerReference w:type="default" r:id="rId10"/>
      <w:pgSz w:w="12240" w:h="15840"/>
      <w:pgMar w:top="822" w:right="964" w:bottom="765"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b w:val="0"/>
        <w:i w:val="0"/>
        <w:color w:val="777777"/>
        <w:sz w:val="16"/>
      </w:rPr>
      <w:t xml:space="preserve">MUSK, z. s.  •  Pod Haldou 306/7, Beroun-Závodí  •  strana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val="0"/>
        <w:i w:val="0"/>
        <w:color w:val="777777"/>
        <w:sz w:val="16"/>
      </w:rPr>
      <w:t>Minisvět U Krtečka – Beroun  |  vnitřní pravidla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Liberation Sans" w:hAnsi="Liberation Sans"/>
      <w:b/>
      <w:bCs/>
      <w:color w:val="2E4A3F"/>
      <w:sz w:val="27"/>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Liberation Sans" w:hAnsi="Liberation Sans"/>
      <w:b/>
      <w:bCs/>
      <w:color w:val="2E4A3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Liberation Sans" w:hAnsi="Liberation Sans"/>
      <w:b/>
      <w:color w:val="2E4A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List">
    <w:name w:val="Compact List"/>
    <w:pPr>
      <w:spacing w:after="44" w:line="252" w:lineRule="auto"/>
      <w:ind w:left="255" w:hanging="142"/>
    </w:pPr>
    <w:rPr>
      <w:rFonts w:ascii="Liberation Sans" w:hAnsi="Liberation San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Vnitřní pravidla a provozní řád – Minisvět U Krtečka Beroun 2026/2027</dc:title>
  <dc:subject>Dětská skupina Beroun – vnitřní pravidla a provozní řád</dc:subject>
  <dc:creator>MUSK, z. s.</dc:creator>
  <cp:keywords/>
  <dc:description>generated by python-docx</dc:description>
  <cp:lastModifiedBy/>
  <cp:revision>1</cp:revision>
  <dcterms:created xsi:type="dcterms:W3CDTF">2013-12-23T23:15:00Z</dcterms:created>
  <dcterms:modified xsi:type="dcterms:W3CDTF">2013-12-23T23:15:00Z</dcterms:modified>
  <cp:category/>
</cp:coreProperties>
</file>